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0"/>
        <w:gridCol w:w="2306"/>
        <w:gridCol w:w="2306"/>
        <w:gridCol w:w="2307"/>
        <w:gridCol w:w="2306"/>
        <w:gridCol w:w="2306"/>
        <w:gridCol w:w="2307"/>
      </w:tblGrid>
      <w:tr w:rsidR="00D56A3B" w14:paraId="1B74A158" w14:textId="77777777" w:rsidTr="00C60238">
        <w:trPr>
          <w:trHeight w:val="459"/>
        </w:trPr>
        <w:tc>
          <w:tcPr>
            <w:tcW w:w="15388" w:type="dxa"/>
            <w:gridSpan w:val="7"/>
            <w:vAlign w:val="center"/>
          </w:tcPr>
          <w:p w14:paraId="6B2C3EDD" w14:textId="4E01CB65" w:rsidR="00D56A3B" w:rsidRPr="00A9168F" w:rsidRDefault="00D56A3B" w:rsidP="00A9168F">
            <w:pPr>
              <w:jc w:val="center"/>
              <w:rPr>
                <w:rFonts w:ascii="Century Gothic" w:hAnsi="Century Gothic"/>
                <w:b/>
              </w:rPr>
            </w:pPr>
            <w:r w:rsidRPr="00A9168F">
              <w:rPr>
                <w:rFonts w:ascii="Century Gothic" w:hAnsi="Century Gothic"/>
                <w:b/>
              </w:rPr>
              <w:t xml:space="preserve">Year 7 </w:t>
            </w:r>
            <w:r w:rsidR="00A9168F">
              <w:rPr>
                <w:rFonts w:ascii="Century Gothic" w:hAnsi="Century Gothic"/>
                <w:b/>
              </w:rPr>
              <w:t>–</w:t>
            </w:r>
            <w:r w:rsidRPr="00A9168F">
              <w:rPr>
                <w:rFonts w:ascii="Century Gothic" w:hAnsi="Century Gothic"/>
                <w:b/>
              </w:rPr>
              <w:t xml:space="preserve"> </w:t>
            </w:r>
            <w:r w:rsidR="00D05A0A" w:rsidRPr="00A9168F">
              <w:rPr>
                <w:rFonts w:ascii="Century Gothic" w:hAnsi="Century Gothic"/>
                <w:b/>
              </w:rPr>
              <w:t>Mathematics</w:t>
            </w:r>
            <w:r w:rsidR="00A9168F">
              <w:rPr>
                <w:rFonts w:ascii="Century Gothic" w:hAnsi="Century Gothic"/>
                <w:b/>
              </w:rPr>
              <w:t xml:space="preserve"> – 202</w:t>
            </w:r>
            <w:r w:rsidR="00500D11">
              <w:rPr>
                <w:rFonts w:ascii="Century Gothic" w:hAnsi="Century Gothic"/>
                <w:b/>
              </w:rPr>
              <w:t>4</w:t>
            </w:r>
            <w:r w:rsidR="00A9168F">
              <w:rPr>
                <w:rFonts w:ascii="Century Gothic" w:hAnsi="Century Gothic"/>
                <w:b/>
              </w:rPr>
              <w:t>-2</w:t>
            </w:r>
            <w:r w:rsidR="00500D11">
              <w:rPr>
                <w:rFonts w:ascii="Century Gothic" w:hAnsi="Century Gothic"/>
                <w:b/>
              </w:rPr>
              <w:t>5</w:t>
            </w:r>
          </w:p>
        </w:tc>
      </w:tr>
      <w:tr w:rsidR="00D56A3B" w14:paraId="29BD1258" w14:textId="77777777" w:rsidTr="00C60238">
        <w:tc>
          <w:tcPr>
            <w:tcW w:w="1550" w:type="dxa"/>
          </w:tcPr>
          <w:p w14:paraId="645E6696" w14:textId="77777777" w:rsidR="00D56A3B" w:rsidRPr="00D56A3B" w:rsidRDefault="00D56A3B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Curriculum intent</w:t>
            </w:r>
          </w:p>
        </w:tc>
        <w:tc>
          <w:tcPr>
            <w:tcW w:w="13838" w:type="dxa"/>
            <w:gridSpan w:val="6"/>
          </w:tcPr>
          <w:p w14:paraId="52BE5B6A" w14:textId="0D07C1F6" w:rsidR="00914CC7" w:rsidRPr="00C52800" w:rsidRDefault="00914CC7" w:rsidP="00770ED1">
            <w:pPr>
              <w:spacing w:after="120"/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</w:pPr>
            <w:r w:rsidRPr="00C5280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Through mathematics lessons we promote mathematical thinking to allow all students to achieve their mathematical potential and engage in the study of mathematics. Using a mastery</w:t>
            </w:r>
            <w:r w:rsidR="009652B7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style</w:t>
            </w:r>
            <w:r w:rsidRPr="00C5280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approach to mathematics allows all students to develop their fluency, reasoning and </w:t>
            </w:r>
            <w:r w:rsidR="00D330A2" w:rsidRPr="00C5280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problem-solving</w:t>
            </w:r>
            <w:r w:rsidRPr="00C5280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using </w:t>
            </w:r>
            <w:r w:rsidR="00311F7A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representations of mathematical ideas</w:t>
            </w:r>
            <w:r w:rsidRPr="00C5280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. </w:t>
            </w:r>
            <w:r w:rsidR="004A6BF8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As students progress</w:t>
            </w:r>
            <w:r w:rsidR="00311F7A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,</w:t>
            </w:r>
            <w:r w:rsidR="004A6BF8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topics from previous learning wi</w:t>
            </w:r>
            <w:r w:rsidR="00984251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ll</w:t>
            </w:r>
            <w:r w:rsidR="004A6BF8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be interleaved into future learning so students develop application and skill links between different areas of mathematics.</w:t>
            </w:r>
          </w:p>
          <w:p w14:paraId="6BC5DE74" w14:textId="580F60AD" w:rsidR="00914CC7" w:rsidRPr="00C52800" w:rsidRDefault="00914CC7" w:rsidP="00770ED1">
            <w:pPr>
              <w:spacing w:after="120"/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</w:pPr>
            <w:r w:rsidRPr="00C5280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In </w:t>
            </w:r>
            <w:r w:rsidR="00F73AE7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Y</w:t>
            </w:r>
            <w:r w:rsidRPr="00C5280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ear 7</w:t>
            </w:r>
            <w:r w:rsidR="009652B7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,</w:t>
            </w:r>
            <w:r w:rsidRPr="00C5280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students start their journey with algebraic </w:t>
            </w:r>
            <w:r w:rsidR="00F73AE7" w:rsidRPr="00C5280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thinking</w:t>
            </w:r>
            <w:r w:rsidR="00F73AE7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, </w:t>
            </w:r>
            <w:r w:rsidR="00FE6FC0" w:rsidRPr="00C5280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develop</w:t>
            </w:r>
            <w:r w:rsidR="00A9168F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ing</w:t>
            </w:r>
            <w:r w:rsidR="00FE6FC0" w:rsidRPr="00C5280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pattern spotting, </w:t>
            </w:r>
            <w:r w:rsidR="009D7E3F" w:rsidRPr="00C5280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and a deep understanding of the basic algebraic forms and fundamentals. Much of this work will be developed using physical manipulatives</w:t>
            </w:r>
            <w:r w:rsidR="00984251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and pictorial representations to</w:t>
            </w:r>
            <w:r w:rsidR="009D7E3F" w:rsidRPr="00C5280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further </w:t>
            </w:r>
            <w:r w:rsidR="00B24A04" w:rsidRPr="00C5280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their </w:t>
            </w:r>
            <w:r w:rsidR="009D7E3F" w:rsidRPr="00C5280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numerical reasoning. Students will</w:t>
            </w:r>
            <w:r w:rsidR="00F73AE7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study </w:t>
            </w:r>
            <w:r w:rsidR="00B24A04" w:rsidRPr="00C5280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the concepts of equivalence and equality in both algebraic and numerical form</w:t>
            </w:r>
            <w:r w:rsidR="008A1911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;</w:t>
            </w:r>
            <w:r w:rsidR="00B24A04" w:rsidRPr="00C5280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this will link to real life concepts and </w:t>
            </w:r>
            <w:r w:rsidR="00F73AE7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they will</w:t>
            </w:r>
            <w:r w:rsidR="00F73AE7" w:rsidRPr="00C5280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explore</w:t>
            </w:r>
            <w:r w:rsidR="00B24A04" w:rsidRPr="00C5280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associated topics to apply these skills. </w:t>
            </w:r>
          </w:p>
          <w:p w14:paraId="443EB63E" w14:textId="5CAE8960" w:rsidR="00A9168F" w:rsidRDefault="00914CC7" w:rsidP="00770ED1">
            <w:pPr>
              <w:spacing w:after="120"/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</w:pPr>
            <w:r w:rsidRPr="00C5280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As </w:t>
            </w:r>
            <w:r w:rsidR="00F73AE7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Y</w:t>
            </w:r>
            <w:r w:rsidRPr="00C5280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ear 7 continues</w:t>
            </w:r>
            <w:r w:rsidR="00A9168F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,</w:t>
            </w:r>
            <w:r w:rsidRPr="00C5280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students</w:t>
            </w:r>
            <w:r w:rsidR="00B24A04" w:rsidRPr="00C5280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will explore new areas of mathematics linked to the four operations and fractions</w:t>
            </w:r>
            <w:r w:rsidR="008A1911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,</w:t>
            </w:r>
            <w:r w:rsidR="00B24A04" w:rsidRPr="00C5280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allowing students</w:t>
            </w:r>
            <w:r w:rsidR="00C5280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to develop and apply these central concepts to different </w:t>
            </w:r>
            <w:r w:rsidR="00F73AE7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branches</w:t>
            </w:r>
            <w:r w:rsidR="00C5280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of mathematics, including frequency diagrams, averages and area. </w:t>
            </w:r>
          </w:p>
          <w:p w14:paraId="07497FEB" w14:textId="0710AB62" w:rsidR="001B0372" w:rsidRPr="00A9168F" w:rsidRDefault="00C52800" w:rsidP="00A9168F">
            <w:pPr>
              <w:spacing w:after="120"/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Students will develop their application of calculations </w:t>
            </w:r>
            <w:r w:rsidR="00A9168F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through 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using formal methods</w:t>
            </w:r>
            <w:r w:rsidR="00A9168F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whilst developing their understanding to enable them to be flexible when problem solving in a variety of contexts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.</w:t>
            </w:r>
          </w:p>
        </w:tc>
      </w:tr>
      <w:tr w:rsidR="00C60238" w14:paraId="7ED66DC3" w14:textId="77777777" w:rsidTr="00C60238">
        <w:tc>
          <w:tcPr>
            <w:tcW w:w="1550" w:type="dxa"/>
          </w:tcPr>
          <w:p w14:paraId="557587BE" w14:textId="77777777" w:rsidR="00D56A3B" w:rsidRPr="00D56A3B" w:rsidRDefault="00D56A3B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bookmarkStart w:id="0" w:name="_Hlk74647207"/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Term</w:t>
            </w:r>
          </w:p>
        </w:tc>
        <w:tc>
          <w:tcPr>
            <w:tcW w:w="2306" w:type="dxa"/>
          </w:tcPr>
          <w:p w14:paraId="18E572B2" w14:textId="77777777" w:rsidR="00D56A3B" w:rsidRPr="00D56A3B" w:rsidRDefault="00D56A3B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Autumn 1</w:t>
            </w:r>
          </w:p>
        </w:tc>
        <w:tc>
          <w:tcPr>
            <w:tcW w:w="2306" w:type="dxa"/>
          </w:tcPr>
          <w:p w14:paraId="356DD501" w14:textId="77777777" w:rsidR="00D56A3B" w:rsidRPr="00D56A3B" w:rsidRDefault="00D56A3B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Autumn 2</w:t>
            </w:r>
          </w:p>
        </w:tc>
        <w:tc>
          <w:tcPr>
            <w:tcW w:w="2307" w:type="dxa"/>
          </w:tcPr>
          <w:p w14:paraId="519165FF" w14:textId="77777777" w:rsidR="00D56A3B" w:rsidRPr="00D56A3B" w:rsidRDefault="00D56A3B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Spring 1</w:t>
            </w:r>
          </w:p>
        </w:tc>
        <w:tc>
          <w:tcPr>
            <w:tcW w:w="2306" w:type="dxa"/>
          </w:tcPr>
          <w:p w14:paraId="5202D149" w14:textId="77777777" w:rsidR="00D56A3B" w:rsidRPr="00D56A3B" w:rsidRDefault="00D56A3B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Spring 2</w:t>
            </w:r>
          </w:p>
        </w:tc>
        <w:tc>
          <w:tcPr>
            <w:tcW w:w="2306" w:type="dxa"/>
          </w:tcPr>
          <w:p w14:paraId="5123BBB4" w14:textId="77777777" w:rsidR="00D56A3B" w:rsidRPr="00D56A3B" w:rsidRDefault="00D56A3B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Summer 1</w:t>
            </w:r>
          </w:p>
        </w:tc>
        <w:tc>
          <w:tcPr>
            <w:tcW w:w="2307" w:type="dxa"/>
          </w:tcPr>
          <w:p w14:paraId="62E4CE97" w14:textId="77777777" w:rsidR="00D56A3B" w:rsidRPr="00D56A3B" w:rsidRDefault="00D56A3B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Summer 2</w:t>
            </w:r>
          </w:p>
        </w:tc>
      </w:tr>
      <w:bookmarkEnd w:id="0"/>
      <w:tr w:rsidR="00C60238" w14:paraId="2C0AF106" w14:textId="77777777" w:rsidTr="00C60238">
        <w:tc>
          <w:tcPr>
            <w:tcW w:w="1550" w:type="dxa"/>
          </w:tcPr>
          <w:p w14:paraId="033DDC29" w14:textId="77777777" w:rsidR="00D56A3B" w:rsidRPr="00D56A3B" w:rsidRDefault="00D56A3B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Knowledge</w:t>
            </w:r>
          </w:p>
        </w:tc>
        <w:tc>
          <w:tcPr>
            <w:tcW w:w="2306" w:type="dxa"/>
          </w:tcPr>
          <w:p w14:paraId="7733D05B" w14:textId="77777777" w:rsidR="004A6BF8" w:rsidRDefault="004A6BF8" w:rsidP="004A6BF8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19CD2D7F" w14:textId="77777777" w:rsidR="00D56A3B" w:rsidRDefault="00894749" w:rsidP="00E646E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Sequences</w:t>
            </w:r>
          </w:p>
          <w:p w14:paraId="6F57240C" w14:textId="77777777" w:rsidR="004369D1" w:rsidRDefault="004369D1" w:rsidP="004369D1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7D0EC210" w14:textId="6CDE6436" w:rsidR="00894749" w:rsidRDefault="00894749" w:rsidP="00E646E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Understand and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U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se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A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lgebraic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N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otation</w:t>
            </w:r>
          </w:p>
          <w:p w14:paraId="7F477BC1" w14:textId="233DE46C" w:rsidR="00894749" w:rsidRPr="008D424E" w:rsidRDefault="00894749" w:rsidP="008D424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6" w:type="dxa"/>
          </w:tcPr>
          <w:p w14:paraId="746396F8" w14:textId="77777777" w:rsidR="004A6BF8" w:rsidRDefault="004A6BF8" w:rsidP="004A6BF8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0D6FA9B3" w14:textId="6A3800E1" w:rsidR="008D424E" w:rsidRDefault="008D424E" w:rsidP="00992D6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Equality and Equivalence</w:t>
            </w:r>
          </w:p>
          <w:p w14:paraId="0186963A" w14:textId="77777777" w:rsidR="008D424E" w:rsidRDefault="008D424E" w:rsidP="00C8230F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2BA38BAD" w14:textId="56977B7E" w:rsidR="00894749" w:rsidRDefault="00894749" w:rsidP="00992D6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E646E9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Place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V</w:t>
            </w:r>
            <w:r w:rsidRPr="00E646E9">
              <w:rPr>
                <w:rFonts w:ascii="Century Gothic" w:hAnsi="Century Gothic" w:cs="Tahoma"/>
                <w:bCs/>
                <w:color w:val="000000"/>
                <w:sz w:val="18"/>
              </w:rPr>
              <w:t>alue</w:t>
            </w:r>
            <w:r w:rsidR="00E646E9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and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O</w:t>
            </w:r>
            <w:r w:rsidRPr="00E646E9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rdering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I</w:t>
            </w:r>
            <w:r w:rsidRPr="00E646E9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ntegers and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D</w:t>
            </w:r>
            <w:r w:rsidRPr="00E646E9">
              <w:rPr>
                <w:rFonts w:ascii="Century Gothic" w:hAnsi="Century Gothic" w:cs="Tahoma"/>
                <w:bCs/>
                <w:color w:val="000000"/>
                <w:sz w:val="18"/>
              </w:rPr>
              <w:t>ecimals</w:t>
            </w:r>
          </w:p>
          <w:p w14:paraId="3C322EC2" w14:textId="77777777" w:rsidR="004369D1" w:rsidRPr="00E646E9" w:rsidRDefault="004369D1" w:rsidP="004369D1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54E5A184" w14:textId="77777777" w:rsidR="00E646E9" w:rsidRPr="008D424E" w:rsidRDefault="00E646E9" w:rsidP="008D424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7" w:type="dxa"/>
          </w:tcPr>
          <w:p w14:paraId="08723A12" w14:textId="77777777" w:rsidR="004A6BF8" w:rsidRDefault="004A6BF8" w:rsidP="004A6BF8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447D2F51" w14:textId="25BD515C" w:rsidR="008D424E" w:rsidRDefault="008D424E" w:rsidP="008D42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Fraction,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D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ecimal and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P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ercentage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E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quivalence</w:t>
            </w:r>
          </w:p>
          <w:p w14:paraId="68FE31AB" w14:textId="77777777" w:rsidR="008D424E" w:rsidRDefault="008D424E" w:rsidP="008D424E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212A7458" w14:textId="51D33D32" w:rsidR="00D56A3B" w:rsidRDefault="00E646E9" w:rsidP="00E646E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Solve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P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roblems with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A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ddition and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S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ubtraction</w:t>
            </w:r>
          </w:p>
          <w:p w14:paraId="65973911" w14:textId="77777777" w:rsidR="001B0372" w:rsidRPr="00E646E9" w:rsidRDefault="001B0372" w:rsidP="00F655F9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6" w:type="dxa"/>
          </w:tcPr>
          <w:p w14:paraId="49372B7C" w14:textId="77777777" w:rsidR="004369D1" w:rsidRDefault="004369D1" w:rsidP="004369D1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20B494F7" w14:textId="00232ACB" w:rsidR="00D330A2" w:rsidRDefault="00D330A2" w:rsidP="00D330A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Solve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P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roblems with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A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ddition and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S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ubtraction (cont.)</w:t>
            </w:r>
          </w:p>
          <w:p w14:paraId="67F06123" w14:textId="77777777" w:rsidR="00A36B93" w:rsidRPr="00D330A2" w:rsidRDefault="00A36B93" w:rsidP="00E13E07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643E7B44" w14:textId="2285F3C7" w:rsidR="008D424E" w:rsidRDefault="008D424E" w:rsidP="008D42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Solve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P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roblems with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M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ultiplication and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D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ivision</w:t>
            </w:r>
          </w:p>
          <w:p w14:paraId="6AF23B29" w14:textId="50AB8ED6" w:rsidR="008D424E" w:rsidRPr="00296E66" w:rsidRDefault="008D424E" w:rsidP="00296E6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6" w:type="dxa"/>
          </w:tcPr>
          <w:p w14:paraId="08EEC1AF" w14:textId="77777777" w:rsidR="008D424E" w:rsidRPr="008D424E" w:rsidRDefault="008D424E" w:rsidP="008D424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1F8777CC" w14:textId="0D04E2B7" w:rsidR="00296E66" w:rsidRDefault="00296E66" w:rsidP="00296E6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Fraction and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P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ercentage of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A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mounts</w:t>
            </w:r>
          </w:p>
          <w:p w14:paraId="210CD809" w14:textId="77777777" w:rsidR="00296E66" w:rsidRDefault="00296E66" w:rsidP="00296E66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6C09A6F2" w14:textId="695C465B" w:rsidR="00296E66" w:rsidRDefault="00296E66" w:rsidP="00296E6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Operations and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E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quations with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D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irected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N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umber</w:t>
            </w:r>
          </w:p>
          <w:p w14:paraId="135B35DC" w14:textId="63ED264F" w:rsidR="00E646E9" w:rsidRPr="00D05A0A" w:rsidRDefault="00E646E9" w:rsidP="00296E66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7" w:type="dxa"/>
          </w:tcPr>
          <w:p w14:paraId="4D028CFD" w14:textId="77777777" w:rsidR="004369D1" w:rsidRPr="009652B7" w:rsidRDefault="004369D1" w:rsidP="009652B7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35854D67" w14:textId="6A57F65D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Operations and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E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quations with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D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irected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N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umber</w:t>
            </w:r>
            <w:r w:rsidR="00A36B93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(cont.)</w:t>
            </w:r>
          </w:p>
          <w:p w14:paraId="55F73AFD" w14:textId="77777777" w:rsidR="004B3890" w:rsidRDefault="004B3890" w:rsidP="004B3890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089EDC32" w14:textId="42CAD60A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Addition and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S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ubtraction of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F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ractions</w:t>
            </w:r>
          </w:p>
          <w:p w14:paraId="093AB3A8" w14:textId="18FDEB59" w:rsidR="00E646E9" w:rsidRPr="00D05A0A" w:rsidRDefault="00E646E9" w:rsidP="004B3890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</w:tr>
      <w:tr w:rsidR="00C60238" w:rsidRPr="00D56A3B" w14:paraId="2B27C4BF" w14:textId="77777777" w:rsidTr="00C60238">
        <w:tc>
          <w:tcPr>
            <w:tcW w:w="1550" w:type="dxa"/>
          </w:tcPr>
          <w:p w14:paraId="3ACD477A" w14:textId="77777777" w:rsidR="001B0372" w:rsidRPr="00D56A3B" w:rsidRDefault="001B0372" w:rsidP="0026603E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Term</w:t>
            </w:r>
          </w:p>
        </w:tc>
        <w:tc>
          <w:tcPr>
            <w:tcW w:w="2306" w:type="dxa"/>
          </w:tcPr>
          <w:p w14:paraId="703BD40E" w14:textId="77777777" w:rsidR="001B0372" w:rsidRPr="00D56A3B" w:rsidRDefault="001B0372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Autumn 1</w:t>
            </w:r>
          </w:p>
        </w:tc>
        <w:tc>
          <w:tcPr>
            <w:tcW w:w="2306" w:type="dxa"/>
          </w:tcPr>
          <w:p w14:paraId="42431AE4" w14:textId="77777777" w:rsidR="001B0372" w:rsidRPr="00D56A3B" w:rsidRDefault="001B0372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Autumn 2</w:t>
            </w:r>
          </w:p>
        </w:tc>
        <w:tc>
          <w:tcPr>
            <w:tcW w:w="2307" w:type="dxa"/>
          </w:tcPr>
          <w:p w14:paraId="236B75C5" w14:textId="77777777" w:rsidR="001B0372" w:rsidRPr="00D56A3B" w:rsidRDefault="001B0372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Spring 1</w:t>
            </w:r>
          </w:p>
        </w:tc>
        <w:tc>
          <w:tcPr>
            <w:tcW w:w="2306" w:type="dxa"/>
          </w:tcPr>
          <w:p w14:paraId="6C91D158" w14:textId="77777777" w:rsidR="001B0372" w:rsidRPr="00D56A3B" w:rsidRDefault="001B0372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Spring 2</w:t>
            </w:r>
          </w:p>
        </w:tc>
        <w:tc>
          <w:tcPr>
            <w:tcW w:w="2306" w:type="dxa"/>
          </w:tcPr>
          <w:p w14:paraId="31190173" w14:textId="77777777" w:rsidR="001B0372" w:rsidRPr="00D56A3B" w:rsidRDefault="001B0372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Summer 1</w:t>
            </w:r>
          </w:p>
        </w:tc>
        <w:tc>
          <w:tcPr>
            <w:tcW w:w="2307" w:type="dxa"/>
          </w:tcPr>
          <w:p w14:paraId="27596295" w14:textId="77777777" w:rsidR="001B0372" w:rsidRPr="00D56A3B" w:rsidRDefault="001B0372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Summer 2</w:t>
            </w:r>
          </w:p>
        </w:tc>
      </w:tr>
      <w:tr w:rsidR="004B3890" w14:paraId="08254C06" w14:textId="77777777" w:rsidTr="00C60238">
        <w:tc>
          <w:tcPr>
            <w:tcW w:w="1550" w:type="dxa"/>
          </w:tcPr>
          <w:p w14:paraId="2FB3AC54" w14:textId="77777777" w:rsidR="004B3890" w:rsidRPr="00D56A3B" w:rsidRDefault="004B3890" w:rsidP="004B3890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Skills</w:t>
            </w:r>
          </w:p>
        </w:tc>
        <w:tc>
          <w:tcPr>
            <w:tcW w:w="2306" w:type="dxa"/>
          </w:tcPr>
          <w:p w14:paraId="1AE6DD4C" w14:textId="6E328DB1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Moving between different numerical, graphical and diagrammatic representations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25C46ABA" w14:textId="2472AA73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Make and t</w:t>
            </w:r>
            <w:r w:rsidRPr="00D05A0A">
              <w:rPr>
                <w:rFonts w:ascii="Century Gothic" w:hAnsi="Century Gothic" w:cs="Tahoma"/>
                <w:bCs/>
                <w:color w:val="000000"/>
                <w:sz w:val="18"/>
              </w:rPr>
              <w:t>est conjunctures about patterns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  <w:r w:rsidRPr="00D05A0A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</w:t>
            </w:r>
          </w:p>
          <w:p w14:paraId="7B3F2B4C" w14:textId="77777777" w:rsidR="004B3890" w:rsidRPr="00D05A0A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D05A0A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Recognise 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&amp;</w:t>
            </w:r>
            <w:r w:rsidRPr="00D05A0A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generate terms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  <w:r w:rsidRPr="00D05A0A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</w:t>
            </w:r>
          </w:p>
          <w:p w14:paraId="416CF89F" w14:textId="7C778615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D05A0A"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Use a calculator to check accuracy</w:t>
            </w:r>
            <w:r w:rsidR="0024140D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</w:t>
            </w:r>
          </w:p>
          <w:p w14:paraId="0C8AC8E7" w14:textId="4FB989CD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Use algebra to g</w:t>
            </w:r>
            <w:r w:rsidRPr="00D05A0A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eneralise 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the structure of arithmetic</w:t>
            </w:r>
            <w:r w:rsidR="00864B7F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contexts.</w:t>
            </w:r>
          </w:p>
          <w:p w14:paraId="4349F0ED" w14:textId="1BE86B3F" w:rsidR="004B3890" w:rsidRPr="00D05A0A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Formulate mathematical relationships</w:t>
            </w:r>
            <w:r w:rsidR="00864B7F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06AC97FB" w14:textId="3E670756" w:rsidR="004B3890" w:rsidRPr="004369D1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Recognise and use relationships between operations, including </w:t>
            </w:r>
            <w:r w:rsidRPr="004369D1">
              <w:rPr>
                <w:rFonts w:ascii="Century Gothic" w:hAnsi="Century Gothic" w:cs="Tahoma"/>
                <w:bCs/>
                <w:color w:val="000000"/>
                <w:sz w:val="18"/>
              </w:rPr>
              <w:t>inverse operations</w:t>
            </w:r>
            <w:r w:rsidR="00864B7F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264F3088" w14:textId="1191319B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D05A0A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Use 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and interpret formal</w:t>
            </w:r>
            <w:r w:rsidRPr="00D05A0A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algebraic </w:t>
            </w:r>
            <w:r w:rsidRPr="00D05A0A">
              <w:rPr>
                <w:rFonts w:ascii="Century Gothic" w:hAnsi="Century Gothic" w:cs="Tahoma"/>
                <w:bCs/>
                <w:color w:val="000000"/>
                <w:sz w:val="18"/>
              </w:rPr>
              <w:t>notation</w:t>
            </w:r>
            <w:r w:rsidR="00864B7F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47059BA9" w14:textId="0A28C61A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Substitute into expressions</w:t>
            </w:r>
            <w:r w:rsidR="00864B7F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3D317C75" w14:textId="59448F29" w:rsidR="004B3890" w:rsidRPr="00D05A0A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Generate terms of a sequence</w:t>
            </w:r>
            <w:r w:rsidR="00864B7F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2E807B15" w14:textId="36350F2E" w:rsidR="004B3890" w:rsidRPr="00D05A0A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Produce graphs of linear functions of one variable</w:t>
            </w:r>
            <w:r w:rsidR="00864B7F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581965CA" w14:textId="142270E0" w:rsidR="004B3890" w:rsidRPr="00D05A0A" w:rsidRDefault="004B3890" w:rsidP="004B3890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6" w:type="dxa"/>
          </w:tcPr>
          <w:p w14:paraId="1C906C93" w14:textId="216C044E" w:rsidR="004B3890" w:rsidRPr="00D05A0A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D05A0A"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 xml:space="preserve">Simplify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and</w:t>
            </w:r>
            <w:r w:rsidRPr="00D05A0A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manipulate algebraic expressions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to maintain equivalenc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e.</w:t>
            </w:r>
            <w:r w:rsidRPr="00D05A0A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</w:t>
            </w:r>
          </w:p>
          <w:p w14:paraId="6BA1FDFE" w14:textId="47EDF389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Use approximation through rounding to estimate answers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255DDA67" w14:textId="4099FB20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Use algebraic methods to solve 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linear equations with one variable.</w:t>
            </w:r>
          </w:p>
          <w:p w14:paraId="6162D16B" w14:textId="5DDC9ABB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Use place value for decimals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2708EA50" w14:textId="48FA7FE9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Understand and use place value for decimals,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measures,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and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integers of any size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1C11BCE2" w14:textId="01CD760B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Use mathematical symbols for equality and inequality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6F87D7F5" w14:textId="4D09E7EF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Compare and order any number up to one billion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4974B223" w14:textId="101390F2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Describe, interpret and compare the median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and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range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</w:t>
            </w:r>
          </w:p>
          <w:p w14:paraId="1CE2C45B" w14:textId="59AC5493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Use powers of ten in calculations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42939027" w14:textId="4335823D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Write numbers in standard form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3347BDBC" w14:textId="77777777" w:rsidR="004B3890" w:rsidRPr="00D05A0A" w:rsidRDefault="004B3890" w:rsidP="004B3890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7" w:type="dxa"/>
          </w:tcPr>
          <w:p w14:paraId="2405F4A0" w14:textId="4F49E577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Represent decimals and fractions on a number line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138675A5" w14:textId="60F4F86B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Compare quantities using fractions, decimals and percentages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285BF46A" w14:textId="30EB1A2E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Express one quantity as a fraction of another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6ABC4632" w14:textId="46583379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Use and interpret simple pie charts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53DDD523" w14:textId="168D7C32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Using diagrams to represent any fraction as a diagram,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and 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on a number line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00468BEA" w14:textId="73D7E650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Identify and use equivalent fractions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</w:t>
            </w:r>
          </w:p>
          <w:p w14:paraId="2D724E93" w14:textId="3CAB8E43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Understanding fractions as division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153D2A95" w14:textId="1C7D7C48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Convert fluently between simple fractions, decimals and percentages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66975B70" w14:textId="151584C4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Understanding fractions greater than a whole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6246B581" w14:textId="759305ED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Use the properties of addition and subtraction, including the associative law of arithmetic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419C448A" w14:textId="3BF6D586" w:rsidR="004B3890" w:rsidRPr="00D116D6" w:rsidRDefault="004B3890" w:rsidP="00D116D6">
            <w:pPr>
              <w:spacing w:after="0" w:line="240" w:lineRule="auto"/>
              <w:ind w:left="37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6" w:type="dxa"/>
          </w:tcPr>
          <w:p w14:paraId="32D78B97" w14:textId="71E37578" w:rsidR="00D116D6" w:rsidRDefault="00D116D6" w:rsidP="00D116D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Develop mental strategies for addition and subtraction.</w:t>
            </w:r>
          </w:p>
          <w:p w14:paraId="1212F521" w14:textId="3E1E5FB9" w:rsidR="00D116D6" w:rsidRDefault="00D116D6" w:rsidP="00D116D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Use formal written methods for addition and subtraction, applied to positive integers and decimals.</w:t>
            </w:r>
          </w:p>
          <w:p w14:paraId="7C529B39" w14:textId="2E4B2209" w:rsidR="00D116D6" w:rsidRDefault="00D116D6" w:rsidP="00D116D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Recognise and use the most appropriate 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method: mental strategies, formal written or calculator.</w:t>
            </w:r>
          </w:p>
          <w:p w14:paraId="520C098F" w14:textId="40AD3E50" w:rsidR="00D116D6" w:rsidRPr="00D116D6" w:rsidRDefault="00D116D6" w:rsidP="00D116D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Solve problems involving perimeter, financial maths, timetables, frequency diagrams.</w:t>
            </w:r>
          </w:p>
          <w:p w14:paraId="076A3F90" w14:textId="4FA9FB8B" w:rsidR="004B3890" w:rsidRPr="005C1DF6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5C1DF6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Use the properties of 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multiplication and division</w:t>
            </w:r>
            <w:r w:rsidRPr="005C1DF6">
              <w:rPr>
                <w:rFonts w:ascii="Century Gothic" w:hAnsi="Century Gothic" w:cs="Tahoma"/>
                <w:bCs/>
                <w:color w:val="000000"/>
                <w:sz w:val="18"/>
              </w:rPr>
              <w:t>, including the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commutative</w:t>
            </w:r>
            <w:r w:rsidRPr="005C1DF6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and </w:t>
            </w:r>
            <w:r w:rsidRPr="005C1DF6">
              <w:rPr>
                <w:rFonts w:ascii="Century Gothic" w:hAnsi="Century Gothic" w:cs="Tahoma"/>
                <w:bCs/>
                <w:color w:val="000000"/>
                <w:sz w:val="18"/>
              </w:rPr>
              <w:t>associative law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s</w:t>
            </w:r>
            <w:r w:rsidRPr="005C1DF6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of arithmetic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12152E8A" w14:textId="1BD5CE0C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Understand and use factors and multiples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51A71296" w14:textId="744E578E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Multiply and divide integers and decimals by powers of 10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1180F603" w14:textId="7C81E170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Convert between different metric units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1B6A8BB0" w14:textId="1DB27376" w:rsidR="004B3890" w:rsidRPr="005C1DF6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5C1DF6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Use formal written methods for 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multiplication and division</w:t>
            </w:r>
            <w:r w:rsidRPr="005C1DF6">
              <w:rPr>
                <w:rFonts w:ascii="Century Gothic" w:hAnsi="Century Gothic" w:cs="Tahoma"/>
                <w:bCs/>
                <w:color w:val="000000"/>
                <w:sz w:val="18"/>
              </w:rPr>
              <w:t>, applied to positive integers and decimals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617D940F" w14:textId="62042D63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Understand and use order of operations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29A5FB56" w14:textId="554E1FA8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Find fraction and percentage of amounts using mental methods and a calculator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</w:t>
            </w:r>
          </w:p>
          <w:p w14:paraId="4FF6BA1D" w14:textId="46D655CF" w:rsidR="004B3890" w:rsidRPr="00C44115" w:rsidRDefault="004B3890" w:rsidP="00C4411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Solve fraction and percentage problems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</w:tc>
        <w:tc>
          <w:tcPr>
            <w:tcW w:w="2306" w:type="dxa"/>
          </w:tcPr>
          <w:p w14:paraId="4C60EEAF" w14:textId="122D331F" w:rsidR="00296E66" w:rsidRDefault="00296E66" w:rsidP="00296E6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Find fraction and percentage of amounts using mental methods and a calculator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3DB17BED" w14:textId="6B0EEFEB" w:rsidR="00296E66" w:rsidRDefault="00296E66" w:rsidP="00296E6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Solve fraction and percentage problems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5CEC1075" w14:textId="37170B66" w:rsidR="00296E66" w:rsidRDefault="00296E66" w:rsidP="00296E6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Understand and use multiple 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representations of directed numbers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179C699D" w14:textId="0A1D19CE" w:rsidR="00D116D6" w:rsidRDefault="00D116D6" w:rsidP="00D116D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Perform calculations that cross zero.</w:t>
            </w:r>
          </w:p>
          <w:p w14:paraId="668C6774" w14:textId="1973ADD5" w:rsidR="00D116D6" w:rsidRDefault="00D116D6" w:rsidP="00D116D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Complete calculations using all four operators involving direct numbers.</w:t>
            </w:r>
          </w:p>
          <w:p w14:paraId="3369A88E" w14:textId="05E08E7D" w:rsidR="00D116D6" w:rsidRDefault="00D116D6" w:rsidP="00D116D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Use of a calculator with directed numbers.</w:t>
            </w:r>
          </w:p>
          <w:p w14:paraId="6758580C" w14:textId="35FBEB29" w:rsidR="004B3890" w:rsidRPr="00D05A0A" w:rsidRDefault="004B3890" w:rsidP="00D116D6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7" w:type="dxa"/>
          </w:tcPr>
          <w:p w14:paraId="7FD48F76" w14:textId="1D808A05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Evaluate algebraic expressions involving direct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ed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numbers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1890B075" w14:textId="760541CD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Understand and use two step equations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01CE4576" w14:textId="77777777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Explore powers and roots.</w:t>
            </w:r>
          </w:p>
          <w:p w14:paraId="614B61E2" w14:textId="42BA481D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Understand representations of fractions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23F706C7" w14:textId="7F6D5713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Understand and use equivalent fractions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56CBCB72" w14:textId="20B26C3D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Convert between mixed numbers and fractions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6348B55F" w14:textId="77EF2F35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Add and subtract proper fractions in any form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7762D8FF" w14:textId="2DF2F64C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Add and subtract improper fractions and mixed numbers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262BA686" w14:textId="5CDF86C4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Use fractions in algebraic contexts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73A02E21" w14:textId="06420026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Use equivalence to add and subtract decimals, percentages and fractions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1353926E" w14:textId="6316A4D1" w:rsidR="004B3890" w:rsidRPr="00D05A0A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Add and subtract simple algebraic fractions.</w:t>
            </w:r>
          </w:p>
        </w:tc>
      </w:tr>
      <w:tr w:rsidR="004B3890" w14:paraId="19F65D9C" w14:textId="77777777" w:rsidTr="00C60238">
        <w:tc>
          <w:tcPr>
            <w:tcW w:w="1550" w:type="dxa"/>
          </w:tcPr>
          <w:p w14:paraId="19E22F4A" w14:textId="77777777" w:rsidR="004B3890" w:rsidRPr="00D56A3B" w:rsidRDefault="004B3890" w:rsidP="004B3890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lastRenderedPageBreak/>
              <w:t>Assessments</w:t>
            </w:r>
          </w:p>
        </w:tc>
        <w:tc>
          <w:tcPr>
            <w:tcW w:w="2306" w:type="dxa"/>
          </w:tcPr>
          <w:p w14:paraId="153CEAB3" w14:textId="5D0D29F7" w:rsidR="004B3890" w:rsidRPr="004B63FE" w:rsidRDefault="005843B7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4B63FE">
              <w:rPr>
                <w:rFonts w:ascii="Century Gothic" w:hAnsi="Century Gothic" w:cs="Tahoma"/>
                <w:bCs/>
                <w:color w:val="000000"/>
                <w:sz w:val="18"/>
              </w:rPr>
              <w:t>In class assessments</w:t>
            </w:r>
            <w:r w:rsidR="004B63FE" w:rsidRPr="004B63FE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43C748C2" w14:textId="42574572" w:rsidR="004B63FE" w:rsidRPr="004B63FE" w:rsidRDefault="004B63FE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4B63FE">
              <w:rPr>
                <w:rFonts w:ascii="Century Gothic" w:hAnsi="Century Gothic" w:cs="Tahoma"/>
                <w:bCs/>
                <w:color w:val="000000"/>
                <w:sz w:val="18"/>
              </w:rPr>
              <w:t>End of unit assessments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5D048D12" w14:textId="77777777" w:rsidR="004B3890" w:rsidRPr="004B63FE" w:rsidRDefault="004B3890" w:rsidP="004B3890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12A4E6A6" w14:textId="77777777" w:rsidR="004B3890" w:rsidRPr="004B63FE" w:rsidRDefault="004B3890" w:rsidP="004B3890">
            <w:p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6" w:type="dxa"/>
          </w:tcPr>
          <w:p w14:paraId="2DC7350A" w14:textId="77777777" w:rsidR="004B63FE" w:rsidRPr="004B63FE" w:rsidRDefault="004B63FE" w:rsidP="004B63F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4B63FE">
              <w:rPr>
                <w:rFonts w:ascii="Century Gothic" w:hAnsi="Century Gothic" w:cs="Tahoma"/>
                <w:bCs/>
                <w:color w:val="000000"/>
                <w:sz w:val="18"/>
              </w:rPr>
              <w:t>In class assessments.</w:t>
            </w:r>
          </w:p>
          <w:p w14:paraId="4E4A7E13" w14:textId="290FF850" w:rsidR="004B63FE" w:rsidRPr="004B63FE" w:rsidRDefault="004B63FE" w:rsidP="004B63F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4B63FE">
              <w:rPr>
                <w:rFonts w:ascii="Century Gothic" w:hAnsi="Century Gothic" w:cs="Tahoma"/>
                <w:bCs/>
                <w:color w:val="000000"/>
                <w:sz w:val="18"/>
              </w:rPr>
              <w:t>End of unit assessments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096ACA7E" w14:textId="67AB32C2" w:rsidR="004B3890" w:rsidRPr="004B63FE" w:rsidRDefault="004B3890" w:rsidP="004B63FE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7" w:type="dxa"/>
          </w:tcPr>
          <w:p w14:paraId="63C2F385" w14:textId="77777777" w:rsidR="004B63FE" w:rsidRPr="004B63FE" w:rsidRDefault="004B63FE" w:rsidP="004B63F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4B63FE">
              <w:rPr>
                <w:rFonts w:ascii="Century Gothic" w:hAnsi="Century Gothic" w:cs="Tahoma"/>
                <w:bCs/>
                <w:color w:val="000000"/>
                <w:sz w:val="18"/>
              </w:rPr>
              <w:t>In class assessments.</w:t>
            </w:r>
          </w:p>
          <w:p w14:paraId="49052E7A" w14:textId="64B5DCFE" w:rsidR="004B63FE" w:rsidRPr="004B63FE" w:rsidRDefault="004B63FE" w:rsidP="004B63F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4B63FE">
              <w:rPr>
                <w:rFonts w:ascii="Century Gothic" w:hAnsi="Century Gothic" w:cs="Tahoma"/>
                <w:bCs/>
                <w:color w:val="000000"/>
                <w:sz w:val="18"/>
              </w:rPr>
              <w:t>End of unit assessments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17D901BA" w14:textId="77777777" w:rsidR="004B3890" w:rsidRPr="004B63FE" w:rsidRDefault="004B3890" w:rsidP="004B3890">
            <w:p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6" w:type="dxa"/>
          </w:tcPr>
          <w:p w14:paraId="214EA396" w14:textId="77777777" w:rsidR="004B63FE" w:rsidRPr="004B63FE" w:rsidRDefault="004B63FE" w:rsidP="004B63F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4B63FE">
              <w:rPr>
                <w:rFonts w:ascii="Century Gothic" w:hAnsi="Century Gothic" w:cs="Tahoma"/>
                <w:bCs/>
                <w:color w:val="000000"/>
                <w:sz w:val="18"/>
              </w:rPr>
              <w:t>In class assessments.</w:t>
            </w:r>
          </w:p>
          <w:p w14:paraId="60E6876F" w14:textId="2FEBE480" w:rsidR="004B63FE" w:rsidRPr="004B63FE" w:rsidRDefault="004B63FE" w:rsidP="004B63F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4B63FE">
              <w:rPr>
                <w:rFonts w:ascii="Century Gothic" w:hAnsi="Century Gothic" w:cs="Tahoma"/>
                <w:bCs/>
                <w:color w:val="000000"/>
                <w:sz w:val="18"/>
              </w:rPr>
              <w:t>End of unit assessments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2DAB634C" w14:textId="7E8B33D2" w:rsidR="004B3890" w:rsidRPr="004B63FE" w:rsidRDefault="004B3890" w:rsidP="004B3890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6" w:type="dxa"/>
          </w:tcPr>
          <w:p w14:paraId="40E863AE" w14:textId="77777777" w:rsidR="004B63FE" w:rsidRPr="004B63FE" w:rsidRDefault="004B63FE" w:rsidP="004B63F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4B63FE">
              <w:rPr>
                <w:rFonts w:ascii="Century Gothic" w:hAnsi="Century Gothic" w:cs="Tahoma"/>
                <w:bCs/>
                <w:color w:val="000000"/>
                <w:sz w:val="18"/>
              </w:rPr>
              <w:t>In class assessments.</w:t>
            </w:r>
          </w:p>
          <w:p w14:paraId="2E44DCB5" w14:textId="07A9CF61" w:rsidR="004B63FE" w:rsidRPr="004B63FE" w:rsidRDefault="004B63FE" w:rsidP="004B63F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4B63FE">
              <w:rPr>
                <w:rFonts w:ascii="Century Gothic" w:hAnsi="Century Gothic" w:cs="Tahoma"/>
                <w:bCs/>
                <w:color w:val="000000"/>
                <w:sz w:val="18"/>
              </w:rPr>
              <w:t>End of unit assessments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4D0F2C89" w14:textId="25846259" w:rsidR="004B3890" w:rsidRPr="004B63FE" w:rsidRDefault="004B3890" w:rsidP="004B3890">
            <w:p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7" w:type="dxa"/>
          </w:tcPr>
          <w:p w14:paraId="6870206A" w14:textId="77777777" w:rsidR="004B63FE" w:rsidRPr="004B63FE" w:rsidRDefault="004B63FE" w:rsidP="004B63F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4B63FE">
              <w:rPr>
                <w:rFonts w:ascii="Century Gothic" w:hAnsi="Century Gothic" w:cs="Tahoma"/>
                <w:bCs/>
                <w:color w:val="000000"/>
                <w:sz w:val="18"/>
              </w:rPr>
              <w:t>In class assessments.</w:t>
            </w:r>
          </w:p>
          <w:p w14:paraId="30987F57" w14:textId="18857DA7" w:rsidR="004B63FE" w:rsidRPr="004B63FE" w:rsidRDefault="004B63FE" w:rsidP="004B63F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4B63FE">
              <w:rPr>
                <w:rFonts w:ascii="Century Gothic" w:hAnsi="Century Gothic" w:cs="Tahoma"/>
                <w:bCs/>
                <w:color w:val="000000"/>
                <w:sz w:val="18"/>
              </w:rPr>
              <w:t>End of unit assessments</w:t>
            </w:r>
            <w:r w:rsidR="00D116D6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7286018C" w14:textId="12808B63" w:rsidR="004B3890" w:rsidRPr="004B63FE" w:rsidRDefault="004B3890" w:rsidP="004B3890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</w:tr>
      <w:tr w:rsidR="004B3890" w14:paraId="071F5452" w14:textId="77777777" w:rsidTr="00C60238">
        <w:tc>
          <w:tcPr>
            <w:tcW w:w="1550" w:type="dxa"/>
          </w:tcPr>
          <w:p w14:paraId="1B71E5FE" w14:textId="19FDD882" w:rsidR="004B3890" w:rsidRDefault="00E024A7" w:rsidP="004B3890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lastRenderedPageBreak/>
              <w:t>Enrichment</w:t>
            </w:r>
          </w:p>
          <w:p w14:paraId="7B90FD36" w14:textId="77777777" w:rsidR="004B3890" w:rsidRPr="00D56A3B" w:rsidRDefault="004B3890" w:rsidP="004B3890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</w:p>
        </w:tc>
        <w:tc>
          <w:tcPr>
            <w:tcW w:w="2306" w:type="dxa"/>
          </w:tcPr>
          <w:p w14:paraId="044F0CD0" w14:textId="77777777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Work on your IQ and test your pattern spotting skills </w:t>
            </w:r>
            <w:hyperlink r:id="rId8" w:history="1">
              <w:r w:rsidRPr="008006C5">
                <w:rPr>
                  <w:rStyle w:val="Hyperlink"/>
                  <w:rFonts w:ascii="Century Gothic" w:hAnsi="Century Gothic" w:cs="Tahoma"/>
                  <w:bCs/>
                  <w:sz w:val="18"/>
                </w:rPr>
                <w:t>https://www.intelligencetest.com/questions/pattern-recognition/index.html</w:t>
              </w:r>
            </w:hyperlink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</w:t>
            </w:r>
          </w:p>
          <w:p w14:paraId="67AB3557" w14:textId="77777777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Enter the National Cipher Challenge (Oct-Jan) </w:t>
            </w:r>
            <w:hyperlink r:id="rId9" w:history="1">
              <w:r w:rsidRPr="008006C5">
                <w:rPr>
                  <w:rStyle w:val="Hyperlink"/>
                  <w:rFonts w:ascii="Century Gothic" w:hAnsi="Century Gothic" w:cs="Tahoma"/>
                  <w:bCs/>
                  <w:sz w:val="18"/>
                </w:rPr>
                <w:t>https://www.cipherchallenge.org/</w:t>
              </w:r>
            </w:hyperlink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</w:t>
            </w:r>
          </w:p>
          <w:p w14:paraId="2E2A4A23" w14:textId="77777777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Research the famous Fibonacci sequence. Can you summarise your research in a poster or factsheet?</w:t>
            </w:r>
          </w:p>
          <w:p w14:paraId="276ADA09" w14:textId="1D1C1DE3" w:rsidR="004B3890" w:rsidRPr="00D05A0A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Try to solve the game about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following sequences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(app also available) </w:t>
            </w:r>
            <w:hyperlink r:id="rId10" w:history="1">
              <w:r w:rsidRPr="008006C5">
                <w:rPr>
                  <w:rStyle w:val="Hyperlink"/>
                  <w:rFonts w:ascii="Century Gothic" w:hAnsi="Century Gothic" w:cs="Tahoma"/>
                  <w:bCs/>
                  <w:sz w:val="18"/>
                </w:rPr>
                <w:t>http://gameaboutsquares.com/</w:t>
              </w:r>
            </w:hyperlink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2306" w:type="dxa"/>
          </w:tcPr>
          <w:p w14:paraId="493B6363" w14:textId="77777777" w:rsidR="004B3890" w:rsidRPr="00A44C9E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Try out some of the UKMT Junior Challenge questions – some students get the chance to enter in Feb!) </w:t>
            </w:r>
            <w:hyperlink r:id="rId11" w:history="1">
              <w:r w:rsidRPr="00553808">
                <w:rPr>
                  <w:rStyle w:val="Hyperlink"/>
                  <w:rFonts w:ascii="Century Gothic" w:hAnsi="Century Gothic" w:cs="Tahoma"/>
                  <w:bCs/>
                  <w:sz w:val="18"/>
                </w:rPr>
                <w:t>https://www.interactive-maths.com/ukmt-random-question-generator.html</w:t>
              </w:r>
            </w:hyperlink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</w:t>
            </w:r>
          </w:p>
          <w:p w14:paraId="066097D2" w14:textId="77777777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Investigate palindromes – here’s a short article to get you started </w:t>
            </w:r>
            <w:hyperlink r:id="rId12" w:history="1">
              <w:r w:rsidRPr="00553808">
                <w:rPr>
                  <w:rStyle w:val="Hyperlink"/>
                  <w:rFonts w:ascii="Century Gothic" w:hAnsi="Century Gothic" w:cs="Tahoma"/>
                  <w:bCs/>
                  <w:sz w:val="18"/>
                </w:rPr>
                <w:t>https://nrich.maths.org/2574</w:t>
              </w:r>
            </w:hyperlink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</w:t>
            </w:r>
          </w:p>
          <w:p w14:paraId="42AD1860" w14:textId="77777777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Equivalence pairs – can you get to cards face down Level 5? </w:t>
            </w:r>
            <w:hyperlink r:id="rId13" w:history="1">
              <w:r w:rsidRPr="00553808">
                <w:rPr>
                  <w:rStyle w:val="Hyperlink"/>
                  <w:rFonts w:ascii="Century Gothic" w:hAnsi="Century Gothic" w:cs="Tahoma"/>
                  <w:bCs/>
                  <w:sz w:val="18"/>
                </w:rPr>
                <w:t>https://nrich.maths.org/1249</w:t>
              </w:r>
            </w:hyperlink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</w:t>
            </w:r>
          </w:p>
          <w:p w14:paraId="088CC513" w14:textId="77777777" w:rsidR="004B3890" w:rsidRPr="00D05A0A" w:rsidRDefault="004B3890" w:rsidP="004B3890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7" w:type="dxa"/>
          </w:tcPr>
          <w:p w14:paraId="1B711D15" w14:textId="77777777" w:rsidR="004B3890" w:rsidRPr="00A44C9E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If you’ve been selected for the UKMT Junior Challenge questions – get some extra practice in! </w:t>
            </w:r>
            <w:hyperlink r:id="rId14" w:history="1">
              <w:r w:rsidRPr="00553808">
                <w:rPr>
                  <w:rStyle w:val="Hyperlink"/>
                  <w:rFonts w:ascii="Century Gothic" w:hAnsi="Century Gothic" w:cs="Tahoma"/>
                  <w:bCs/>
                  <w:sz w:val="18"/>
                </w:rPr>
                <w:t>https://www.interactive-maths.com/ukmt-random-question-generator.html</w:t>
              </w:r>
            </w:hyperlink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</w:t>
            </w:r>
          </w:p>
          <w:p w14:paraId="3CBEC762" w14:textId="77777777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In newspapers and magazines find fractions decimals or percentages in them and convert all the values you find.</w:t>
            </w:r>
          </w:p>
          <w:p w14:paraId="741855AE" w14:textId="2DC1DE76" w:rsidR="004B3890" w:rsidRPr="00D05A0A" w:rsidRDefault="004B3890" w:rsidP="004B3890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6" w:type="dxa"/>
          </w:tcPr>
          <w:p w14:paraId="4D3AB483" w14:textId="77777777" w:rsidR="00864B7F" w:rsidRDefault="00864B7F" w:rsidP="00864B7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A44C9E">
              <w:rPr>
                <w:rFonts w:ascii="Century Gothic" w:hAnsi="Century Gothic" w:cs="Tahoma"/>
                <w:bCs/>
                <w:color w:val="000000"/>
                <w:sz w:val="18"/>
              </w:rPr>
              <w:t>You’re throwing a birthday party for your friend. What will you do and how much will it cost?</w:t>
            </w:r>
          </w:p>
          <w:p w14:paraId="64D295F8" w14:textId="3874A8A9" w:rsidR="004B3890" w:rsidRPr="0089327A" w:rsidRDefault="004B3890" w:rsidP="007C5D53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6" w:type="dxa"/>
          </w:tcPr>
          <w:p w14:paraId="1D56A7E4" w14:textId="77777777" w:rsidR="00D116D6" w:rsidRDefault="00D116D6" w:rsidP="00D116D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Make a how to use your calculator guide! It will come in helpful for future learning.</w:t>
            </w:r>
          </w:p>
          <w:p w14:paraId="653CB041" w14:textId="446A1975" w:rsidR="004B3890" w:rsidRPr="00027373" w:rsidRDefault="00D116D6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A44C9E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You’re planning an epic 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journey, u</w:t>
            </w:r>
            <w:r w:rsidRPr="00A44C9E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se Google Earth to figure out where you will 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travel</w:t>
            </w:r>
            <w:r w:rsidRPr="00A44C9E">
              <w:rPr>
                <w:rFonts w:ascii="Century Gothic" w:hAnsi="Century Gothic" w:cs="Tahoma"/>
                <w:bCs/>
                <w:color w:val="000000"/>
                <w:sz w:val="18"/>
              </w:rPr>
              <w:t>, and how far in total you will travel.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Can you give distances in cm, m and km?</w:t>
            </w:r>
          </w:p>
        </w:tc>
        <w:tc>
          <w:tcPr>
            <w:tcW w:w="2307" w:type="dxa"/>
          </w:tcPr>
          <w:p w14:paraId="2D8A875E" w14:textId="53D64F90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Can you investigate average temperatures across the wor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ld: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can you find very cold cities/places and compare them to very warm cities/places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?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Work out the differences</w:t>
            </w:r>
            <w:r w:rsidR="008A1911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3677DA52" w14:textId="77777777" w:rsidR="004B3890" w:rsidRDefault="004B3890" w:rsidP="004B38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Try to keep practising your negative number skills! </w:t>
            </w:r>
            <w:hyperlink r:id="rId15" w:history="1">
              <w:r w:rsidRPr="00553808">
                <w:rPr>
                  <w:rStyle w:val="Hyperlink"/>
                  <w:rFonts w:ascii="Century Gothic" w:hAnsi="Century Gothic" w:cs="Tahoma"/>
                  <w:bCs/>
                  <w:sz w:val="18"/>
                </w:rPr>
                <w:t>https://www.cimt.org.uk/projects/mepres/book7/bk7i15/bk7_15i1.htm</w:t>
              </w:r>
            </w:hyperlink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&amp; </w:t>
            </w:r>
            <w:hyperlink r:id="rId16" w:history="1">
              <w:r w:rsidRPr="00553808">
                <w:rPr>
                  <w:rStyle w:val="Hyperlink"/>
                  <w:rFonts w:ascii="Century Gothic" w:hAnsi="Century Gothic" w:cs="Tahoma"/>
                  <w:bCs/>
                  <w:sz w:val="18"/>
                </w:rPr>
                <w:t>https://www.cimt.org.uk/projects/mepres/book7/bk7i15/bk7_15i2.htm</w:t>
              </w:r>
            </w:hyperlink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</w:t>
            </w:r>
          </w:p>
          <w:p w14:paraId="36160DE1" w14:textId="2EFF45F8" w:rsidR="004B3890" w:rsidRPr="00027373" w:rsidRDefault="004B3890" w:rsidP="004B3890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Can you design a board game which tests your fraction arithmetic?</w:t>
            </w:r>
          </w:p>
        </w:tc>
      </w:tr>
    </w:tbl>
    <w:p w14:paraId="57F290A0" w14:textId="77777777" w:rsidR="00587F4D" w:rsidRPr="004369D1" w:rsidRDefault="00587F4D" w:rsidP="003A017B">
      <w:pPr>
        <w:tabs>
          <w:tab w:val="left" w:pos="3817"/>
        </w:tabs>
        <w:rPr>
          <w:rFonts w:ascii="Century Gothic" w:hAnsi="Century Gothic"/>
          <w:sz w:val="2"/>
          <w:szCs w:val="20"/>
          <w:lang w:val="en-US"/>
        </w:rPr>
      </w:pPr>
    </w:p>
    <w:sectPr w:rsidR="00587F4D" w:rsidRPr="004369D1" w:rsidSect="00C63580">
      <w:headerReference w:type="default" r:id="rId17"/>
      <w:footerReference w:type="default" r:id="rId1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E46BD" w14:textId="77777777" w:rsidR="00F96D69" w:rsidRDefault="00F96D69" w:rsidP="0047765C">
      <w:pPr>
        <w:spacing w:after="0" w:line="240" w:lineRule="auto"/>
      </w:pPr>
      <w:r>
        <w:separator/>
      </w:r>
    </w:p>
  </w:endnote>
  <w:endnote w:type="continuationSeparator" w:id="0">
    <w:p w14:paraId="4178CDD9" w14:textId="77777777" w:rsidR="00F96D69" w:rsidRDefault="00F96D69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B6FB4" w14:textId="77777777"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2F3D1" w14:textId="77777777" w:rsidR="00F96D69" w:rsidRDefault="00F96D69" w:rsidP="0047765C">
      <w:pPr>
        <w:spacing w:after="0" w:line="240" w:lineRule="auto"/>
      </w:pPr>
      <w:r>
        <w:separator/>
      </w:r>
    </w:p>
  </w:footnote>
  <w:footnote w:type="continuationSeparator" w:id="0">
    <w:p w14:paraId="5A80FB35" w14:textId="77777777" w:rsidR="00F96D69" w:rsidRDefault="00F96D69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DB1D5" w14:textId="77777777" w:rsidR="0047765C" w:rsidRDefault="0047765C">
    <w:pPr>
      <w:pStyle w:val="Header"/>
    </w:pPr>
    <w:r>
      <w:t xml:space="preserve"> </w:t>
    </w:r>
  </w:p>
  <w:p w14:paraId="28BC2E9F" w14:textId="77777777"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226.2pt;height:214.8pt" o:bullet="t">
        <v:imagedata r:id="rId1" o:title="Star"/>
      </v:shape>
    </w:pict>
  </w:numPicBullet>
  <w:abstractNum w:abstractNumId="0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7713A"/>
    <w:multiLevelType w:val="hybridMultilevel"/>
    <w:tmpl w:val="9BF6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2B4C8">
      <w:numFmt w:val="bullet"/>
      <w:lvlText w:val="•"/>
      <w:lvlJc w:val="left"/>
      <w:pPr>
        <w:ind w:left="1800" w:hanging="720"/>
      </w:pPr>
      <w:rPr>
        <w:rFonts w:ascii="Century Gothic" w:eastAsiaTheme="minorHAnsi" w:hAnsi="Century Gothic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77612"/>
    <w:multiLevelType w:val="hybridMultilevel"/>
    <w:tmpl w:val="C63EC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84386">
    <w:abstractNumId w:val="7"/>
  </w:num>
  <w:num w:numId="2" w16cid:durableId="482504312">
    <w:abstractNumId w:val="15"/>
  </w:num>
  <w:num w:numId="3" w16cid:durableId="267278954">
    <w:abstractNumId w:val="20"/>
  </w:num>
  <w:num w:numId="4" w16cid:durableId="1914700556">
    <w:abstractNumId w:val="22"/>
  </w:num>
  <w:num w:numId="5" w16cid:durableId="1345327571">
    <w:abstractNumId w:val="8"/>
  </w:num>
  <w:num w:numId="6" w16cid:durableId="783187097">
    <w:abstractNumId w:val="9"/>
  </w:num>
  <w:num w:numId="7" w16cid:durableId="1119884440">
    <w:abstractNumId w:val="18"/>
  </w:num>
  <w:num w:numId="8" w16cid:durableId="1018655265">
    <w:abstractNumId w:val="13"/>
  </w:num>
  <w:num w:numId="9" w16cid:durableId="879241399">
    <w:abstractNumId w:val="3"/>
  </w:num>
  <w:num w:numId="10" w16cid:durableId="2118330802">
    <w:abstractNumId w:val="0"/>
  </w:num>
  <w:num w:numId="11" w16cid:durableId="2074769237">
    <w:abstractNumId w:val="12"/>
  </w:num>
  <w:num w:numId="12" w16cid:durableId="514922423">
    <w:abstractNumId w:val="16"/>
  </w:num>
  <w:num w:numId="13" w16cid:durableId="73743980">
    <w:abstractNumId w:val="14"/>
  </w:num>
  <w:num w:numId="14" w16cid:durableId="361050858">
    <w:abstractNumId w:val="5"/>
  </w:num>
  <w:num w:numId="15" w16cid:durableId="759184977">
    <w:abstractNumId w:val="2"/>
  </w:num>
  <w:num w:numId="16" w16cid:durableId="136531725">
    <w:abstractNumId w:val="11"/>
  </w:num>
  <w:num w:numId="17" w16cid:durableId="840389825">
    <w:abstractNumId w:val="10"/>
  </w:num>
  <w:num w:numId="18" w16cid:durableId="1479766161">
    <w:abstractNumId w:val="19"/>
  </w:num>
  <w:num w:numId="19" w16cid:durableId="2000958325">
    <w:abstractNumId w:val="21"/>
  </w:num>
  <w:num w:numId="20" w16cid:durableId="549153812">
    <w:abstractNumId w:val="4"/>
  </w:num>
  <w:num w:numId="21" w16cid:durableId="902329792">
    <w:abstractNumId w:val="1"/>
  </w:num>
  <w:num w:numId="22" w16cid:durableId="591857925">
    <w:abstractNumId w:val="17"/>
  </w:num>
  <w:num w:numId="23" w16cid:durableId="1024019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20CCE"/>
    <w:rsid w:val="00022F12"/>
    <w:rsid w:val="00027373"/>
    <w:rsid w:val="00032223"/>
    <w:rsid w:val="000400BB"/>
    <w:rsid w:val="00042531"/>
    <w:rsid w:val="0005049A"/>
    <w:rsid w:val="000636AA"/>
    <w:rsid w:val="000F38D7"/>
    <w:rsid w:val="001016C8"/>
    <w:rsid w:val="00105FE4"/>
    <w:rsid w:val="00127BAD"/>
    <w:rsid w:val="001644CD"/>
    <w:rsid w:val="00166E9F"/>
    <w:rsid w:val="00170EA7"/>
    <w:rsid w:val="001908D3"/>
    <w:rsid w:val="001B0372"/>
    <w:rsid w:val="001B5652"/>
    <w:rsid w:val="001C7DEB"/>
    <w:rsid w:val="001F1933"/>
    <w:rsid w:val="001F3EDA"/>
    <w:rsid w:val="002170CF"/>
    <w:rsid w:val="002172E8"/>
    <w:rsid w:val="00222EEA"/>
    <w:rsid w:val="0023423A"/>
    <w:rsid w:val="00235D12"/>
    <w:rsid w:val="0024140D"/>
    <w:rsid w:val="002443B5"/>
    <w:rsid w:val="00281902"/>
    <w:rsid w:val="00284018"/>
    <w:rsid w:val="00296E66"/>
    <w:rsid w:val="002A3C8F"/>
    <w:rsid w:val="002B2604"/>
    <w:rsid w:val="002B69AE"/>
    <w:rsid w:val="002C3811"/>
    <w:rsid w:val="002E788E"/>
    <w:rsid w:val="002F30EC"/>
    <w:rsid w:val="00304B61"/>
    <w:rsid w:val="00311F7A"/>
    <w:rsid w:val="00311FA6"/>
    <w:rsid w:val="00320616"/>
    <w:rsid w:val="003538FE"/>
    <w:rsid w:val="00355EC5"/>
    <w:rsid w:val="003613BF"/>
    <w:rsid w:val="00397C0F"/>
    <w:rsid w:val="003A017B"/>
    <w:rsid w:val="003A7E33"/>
    <w:rsid w:val="003C3B58"/>
    <w:rsid w:val="003E0A2C"/>
    <w:rsid w:val="00400C82"/>
    <w:rsid w:val="004369D1"/>
    <w:rsid w:val="0047269C"/>
    <w:rsid w:val="0047765C"/>
    <w:rsid w:val="004A4B6D"/>
    <w:rsid w:val="004A6BF8"/>
    <w:rsid w:val="004B037E"/>
    <w:rsid w:val="004B3890"/>
    <w:rsid w:val="004B63FE"/>
    <w:rsid w:val="004B7BF4"/>
    <w:rsid w:val="004E52FC"/>
    <w:rsid w:val="00500D11"/>
    <w:rsid w:val="005131A6"/>
    <w:rsid w:val="00576408"/>
    <w:rsid w:val="0058029E"/>
    <w:rsid w:val="005843B7"/>
    <w:rsid w:val="00584996"/>
    <w:rsid w:val="0058778E"/>
    <w:rsid w:val="00587F4D"/>
    <w:rsid w:val="00593832"/>
    <w:rsid w:val="005947D1"/>
    <w:rsid w:val="005A0CCE"/>
    <w:rsid w:val="005A2962"/>
    <w:rsid w:val="005A4F89"/>
    <w:rsid w:val="005B719F"/>
    <w:rsid w:val="005C1DF6"/>
    <w:rsid w:val="005D5C09"/>
    <w:rsid w:val="00637D63"/>
    <w:rsid w:val="00673BAB"/>
    <w:rsid w:val="006C5CA4"/>
    <w:rsid w:val="00743396"/>
    <w:rsid w:val="00751202"/>
    <w:rsid w:val="00770ED1"/>
    <w:rsid w:val="00777C4F"/>
    <w:rsid w:val="007A68B4"/>
    <w:rsid w:val="007A7F2D"/>
    <w:rsid w:val="007B7D9D"/>
    <w:rsid w:val="007C5D53"/>
    <w:rsid w:val="008021E4"/>
    <w:rsid w:val="00826BBB"/>
    <w:rsid w:val="0083184B"/>
    <w:rsid w:val="00864697"/>
    <w:rsid w:val="00864B7F"/>
    <w:rsid w:val="0089327A"/>
    <w:rsid w:val="00893BFD"/>
    <w:rsid w:val="00894749"/>
    <w:rsid w:val="008A1911"/>
    <w:rsid w:val="008C0E2C"/>
    <w:rsid w:val="008C354D"/>
    <w:rsid w:val="008D424E"/>
    <w:rsid w:val="008D6C35"/>
    <w:rsid w:val="00914CC7"/>
    <w:rsid w:val="009652B7"/>
    <w:rsid w:val="00967B35"/>
    <w:rsid w:val="009753FC"/>
    <w:rsid w:val="00984251"/>
    <w:rsid w:val="009A0BC7"/>
    <w:rsid w:val="009B395B"/>
    <w:rsid w:val="009B5639"/>
    <w:rsid w:val="009C2320"/>
    <w:rsid w:val="009C2416"/>
    <w:rsid w:val="009D7E3F"/>
    <w:rsid w:val="00A11E89"/>
    <w:rsid w:val="00A22009"/>
    <w:rsid w:val="00A36B93"/>
    <w:rsid w:val="00A44C9E"/>
    <w:rsid w:val="00A4743F"/>
    <w:rsid w:val="00A54A8D"/>
    <w:rsid w:val="00A915BA"/>
    <w:rsid w:val="00A9168F"/>
    <w:rsid w:val="00A91BF6"/>
    <w:rsid w:val="00AB3C72"/>
    <w:rsid w:val="00AB3DFF"/>
    <w:rsid w:val="00AC5E2D"/>
    <w:rsid w:val="00B24A04"/>
    <w:rsid w:val="00B567C2"/>
    <w:rsid w:val="00B57528"/>
    <w:rsid w:val="00B61A10"/>
    <w:rsid w:val="00BD0A99"/>
    <w:rsid w:val="00BD6726"/>
    <w:rsid w:val="00BE1FA1"/>
    <w:rsid w:val="00C24C1E"/>
    <w:rsid w:val="00C31356"/>
    <w:rsid w:val="00C41789"/>
    <w:rsid w:val="00C42544"/>
    <w:rsid w:val="00C44115"/>
    <w:rsid w:val="00C52800"/>
    <w:rsid w:val="00C551CF"/>
    <w:rsid w:val="00C60238"/>
    <w:rsid w:val="00C63580"/>
    <w:rsid w:val="00C7134F"/>
    <w:rsid w:val="00C8230F"/>
    <w:rsid w:val="00C84962"/>
    <w:rsid w:val="00C9145B"/>
    <w:rsid w:val="00CA2145"/>
    <w:rsid w:val="00CB7125"/>
    <w:rsid w:val="00CB72C3"/>
    <w:rsid w:val="00CD2F36"/>
    <w:rsid w:val="00CD333D"/>
    <w:rsid w:val="00CD46D2"/>
    <w:rsid w:val="00CD491E"/>
    <w:rsid w:val="00D05A0A"/>
    <w:rsid w:val="00D116D6"/>
    <w:rsid w:val="00D15A56"/>
    <w:rsid w:val="00D24109"/>
    <w:rsid w:val="00D330A2"/>
    <w:rsid w:val="00D36227"/>
    <w:rsid w:val="00D415D0"/>
    <w:rsid w:val="00D56A3B"/>
    <w:rsid w:val="00D96B93"/>
    <w:rsid w:val="00DB466C"/>
    <w:rsid w:val="00DB7F16"/>
    <w:rsid w:val="00DC4B86"/>
    <w:rsid w:val="00DE0B69"/>
    <w:rsid w:val="00DE2C62"/>
    <w:rsid w:val="00DF6D55"/>
    <w:rsid w:val="00E024A7"/>
    <w:rsid w:val="00E13E07"/>
    <w:rsid w:val="00E53106"/>
    <w:rsid w:val="00E540A6"/>
    <w:rsid w:val="00E60294"/>
    <w:rsid w:val="00E646E9"/>
    <w:rsid w:val="00E8230A"/>
    <w:rsid w:val="00E96808"/>
    <w:rsid w:val="00EB31D5"/>
    <w:rsid w:val="00ED451C"/>
    <w:rsid w:val="00EF1910"/>
    <w:rsid w:val="00F011DF"/>
    <w:rsid w:val="00F024DF"/>
    <w:rsid w:val="00F14C19"/>
    <w:rsid w:val="00F26F79"/>
    <w:rsid w:val="00F34044"/>
    <w:rsid w:val="00F42478"/>
    <w:rsid w:val="00F45A2B"/>
    <w:rsid w:val="00F45A9E"/>
    <w:rsid w:val="00F53B80"/>
    <w:rsid w:val="00F60840"/>
    <w:rsid w:val="00F655F9"/>
    <w:rsid w:val="00F73AE7"/>
    <w:rsid w:val="00F76251"/>
    <w:rsid w:val="00F96021"/>
    <w:rsid w:val="00F96D69"/>
    <w:rsid w:val="00FE6FC0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16710689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6E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6EA33-025B-443A-AE22-02AE846A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Nugent</dc:creator>
  <cp:lastModifiedBy>Sue O’Neill</cp:lastModifiedBy>
  <cp:revision>3</cp:revision>
  <cp:lastPrinted>2017-01-30T07:48:00Z</cp:lastPrinted>
  <dcterms:created xsi:type="dcterms:W3CDTF">2024-10-13T18:10:00Z</dcterms:created>
  <dcterms:modified xsi:type="dcterms:W3CDTF">2024-10-13T18:11:00Z</dcterms:modified>
</cp:coreProperties>
</file>